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33C3" w:rsidP="009C631C">
            <w:r>
              <w:t>Maj/juni</w:t>
            </w:r>
            <w:r w:rsidR="00DF7269">
              <w:t xml:space="preserve"> 2021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DF7269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CC2907" w:rsidRDefault="00DF7269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Karin Vibeke Jensen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16"/>
              <w:gridCol w:w="1303"/>
            </w:tblGrid>
            <w:tr w:rsidR="00677D2E" w:rsidRPr="00EF228E" w:rsidTr="00CC290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7D2E" w:rsidRPr="00677D2E" w:rsidRDefault="00DF7269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HfenB2</w:t>
                  </w:r>
                  <w:r w:rsidR="00CC2907">
                    <w:t>20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FLEX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677D2E" w:rsidRPr="00FE280C" w:rsidTr="00DF7269">
        <w:tc>
          <w:tcPr>
            <w:tcW w:w="98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64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64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640" w:type="dxa"/>
            <w:shd w:val="clear" w:color="auto" w:fill="auto"/>
          </w:tcPr>
          <w:p w:rsidR="00677D2E" w:rsidRPr="00FD025D" w:rsidRDefault="00263CDA" w:rsidP="00786E43">
            <w:pPr>
              <w:spacing w:before="120" w:after="120"/>
              <w:rPr>
                <w:b/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FD025D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640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6733C3" w:rsidTr="00DF7269">
        <w:tc>
          <w:tcPr>
            <w:tcW w:w="98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6733C3" w:rsidTr="00DF7269">
        <w:tc>
          <w:tcPr>
            <w:tcW w:w="988" w:type="dxa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640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DF7269">
        <w:tc>
          <w:tcPr>
            <w:tcW w:w="988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640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DF7269" w:rsidRDefault="00DF7269" w:rsidP="00677D2E"/>
    <w:p w:rsidR="00677D2E" w:rsidRPr="00EE3DE3" w:rsidRDefault="00FB3A5B" w:rsidP="00677D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A64E" wp14:editId="5DD503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A5B" w:rsidRPr="00FB3A5B" w:rsidRDefault="00FB3A5B" w:rsidP="00677D2E">
                            <w:pPr>
                              <w:rPr>
                                <w:b/>
                              </w:rPr>
                            </w:pPr>
                            <w:r w:rsidRPr="00FB3A5B">
                              <w:rPr>
                                <w:b/>
                              </w:rPr>
                              <w:t>Anvendte online materialer:</w:t>
                            </w:r>
                          </w:p>
                          <w:p w:rsidR="00FB3A5B" w:rsidRDefault="00E40B96" w:rsidP="00677D2E">
                            <w:hyperlink r:id="rId7" w:history="1">
                              <w:r w:rsidR="00FB3A5B" w:rsidRPr="0060671F">
                                <w:rPr>
                                  <w:rStyle w:val="Hyperlink"/>
                                </w:rPr>
                                <w:t>https://www.ordbogen.com/da/</w:t>
                              </w:r>
                            </w:hyperlink>
                            <w:r w:rsidR="00FB3A5B">
                              <w:t xml:space="preserve"> </w:t>
                            </w:r>
                          </w:p>
                          <w:p w:rsidR="00FB3A5B" w:rsidRDefault="00E40B96" w:rsidP="00677D2E">
                            <w:hyperlink r:id="rId8" w:history="1">
                              <w:r w:rsidR="00FB3A5B" w:rsidRPr="0060671F">
                                <w:rPr>
                                  <w:rStyle w:val="Hyperlink"/>
                                </w:rPr>
                                <w:t>https://www.lexico.com/</w:t>
                              </w:r>
                            </w:hyperlink>
                            <w:r w:rsidR="00FB3A5B">
                              <w:t xml:space="preserve"> </w:t>
                            </w:r>
                          </w:p>
                          <w:p w:rsidR="00FB3A5B" w:rsidRPr="00946557" w:rsidRDefault="00E40B96" w:rsidP="00946557">
                            <w:hyperlink r:id="rId9" w:history="1">
                              <w:r w:rsidR="00FB3A5B" w:rsidRPr="0060671F">
                                <w:rPr>
                                  <w:rStyle w:val="Hyperlink"/>
                                </w:rPr>
                                <w:t>https://www.minlaering.dk/</w:t>
                              </w:r>
                            </w:hyperlink>
                            <w:r w:rsidR="00FB3A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CA64E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7nPQIAAHkEAAAOAAAAZHJzL2Uyb0RvYy54bWysVE1v2zAMvQ/YfxB0X5yvdmkQp8hSZBhQ&#10;tAWaoWdFlhOjsihISuzs1+9Jidug22nYRebHE0XykZ7dtrVmB+V8RSbng16fM2UkFZXZ5vznevVl&#10;wpkPwhRCk1E5PyrPb+efP80aO1VD2pEulGMIYvy0sTnfhWCnWeblTtXC98gqA2dJrhYBqttmhRMN&#10;otc6G/b711lDrrCOpPIe1ruTk89T/LJUMjyWpVeB6Zwjt5BOl85NPLP5TEy3TthdJc9piH/IohaV&#10;waNvoe5EEGzvqj9C1ZV05KkMPUl1RmVZSZVqQDWD/odqnnfCqlQLmuPtW5v8/wsrHw5PjlVFzkec&#10;GVGDorV69aFUOrBRbE9j/RSoZwtcaL9RC5o7u4cxVt2Wro5f1MPgR6OPb81VbWAyXpoMJ5M+XBK+&#10;TkH87P26dT58V1SzKOTcgb3UVHG49+EE7SDxNUOrSuvEoDasyfn16KqfLnjSVRGdERavLLVjB4EZ&#10;2GghX2P6ePYCBU0bGGOxp6KiFNpNC2gUN1Qc0QBHpwnyVq4qxL0XPjwJh5FBYViD8Iij1IRk6Cxx&#10;tiP362/2iAeT8HLWYARzbrAjnOkfBgzfDMbjOLFJGV99HUJxl57Npcfs6yWhvgHWzcokRnzQnVg6&#10;ql+wK4v4JlzCSLyc89CJy3BaC+yaVItFAmFGrQj35tnKGLrr5rp9Ec6eWQog+IG6URXTD2SdsPGm&#10;t4t9AGWJyfeenruO+U6knHcxLtClnlDvf4z5b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HRJbuc9AgAAeQ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FB3A5B" w:rsidRPr="00FB3A5B" w:rsidRDefault="00FB3A5B" w:rsidP="00677D2E">
                      <w:pPr>
                        <w:rPr>
                          <w:b/>
                        </w:rPr>
                      </w:pPr>
                      <w:r w:rsidRPr="00FB3A5B">
                        <w:rPr>
                          <w:b/>
                        </w:rPr>
                        <w:t>Anvendte online materialer:</w:t>
                      </w:r>
                    </w:p>
                    <w:p w:rsidR="00FB3A5B" w:rsidRDefault="00FB3A5B" w:rsidP="00677D2E">
                      <w:hyperlink r:id="rId10" w:history="1">
                        <w:r w:rsidRPr="0060671F">
                          <w:rPr>
                            <w:rStyle w:val="Hyperlink"/>
                          </w:rPr>
                          <w:t>https://www.ordbogen.com/da/</w:t>
                        </w:r>
                      </w:hyperlink>
                      <w:r>
                        <w:t xml:space="preserve"> </w:t>
                      </w:r>
                    </w:p>
                    <w:p w:rsidR="00FB3A5B" w:rsidRDefault="00FB3A5B" w:rsidP="00677D2E">
                      <w:hyperlink r:id="rId11" w:history="1">
                        <w:r w:rsidRPr="0060671F">
                          <w:rPr>
                            <w:rStyle w:val="Hyperlink"/>
                          </w:rPr>
                          <w:t>https://www.lexico.com/</w:t>
                        </w:r>
                      </w:hyperlink>
                      <w:r>
                        <w:t xml:space="preserve"> </w:t>
                      </w:r>
                    </w:p>
                    <w:p w:rsidR="00FB3A5B" w:rsidRPr="00946557" w:rsidRDefault="00FB3A5B" w:rsidP="00946557">
                      <w:hyperlink r:id="rId12" w:history="1">
                        <w:r w:rsidRPr="0060671F">
                          <w:rPr>
                            <w:rStyle w:val="Hyperlink"/>
                          </w:rPr>
                          <w:t>https://www.minlaering.dk/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D2E" w:rsidRPr="00EE3DE3">
        <w:br w:type="page"/>
      </w:r>
    </w:p>
    <w:p w:rsidR="00677D2E" w:rsidRPr="00FE280C" w:rsidRDefault="00677D2E" w:rsidP="00D12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6733C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</w:t>
            </w:r>
            <w:proofErr w:type="spellStart"/>
            <w:r>
              <w:rPr>
                <w:lang w:val="en-US"/>
              </w:rPr>
              <w:t>Caryl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Edwidge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</w:t>
            </w:r>
            <w:proofErr w:type="spellStart"/>
            <w:r w:rsidRPr="000F04FB">
              <w:rPr>
                <w:lang w:val="en-US"/>
              </w:rPr>
              <w:t>Jonna</w:t>
            </w:r>
            <w:proofErr w:type="spellEnd"/>
            <w:r w:rsidRPr="000F04FB">
              <w:rPr>
                <w:lang w:val="en-US"/>
              </w:rPr>
              <w:t xml:space="preserve">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 xml:space="preserve">, </w:t>
            </w:r>
            <w:proofErr w:type="spellStart"/>
            <w:r w:rsidRPr="000F04FB">
              <w:rPr>
                <w:lang w:val="en-US"/>
              </w:rPr>
              <w:t>Gyldendal</w:t>
            </w:r>
            <w:proofErr w:type="spellEnd"/>
            <w:r w:rsidRPr="000F04FB">
              <w:rPr>
                <w:lang w:val="en-US"/>
              </w:rPr>
              <w:t>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 xml:space="preserve">, </w:t>
            </w:r>
            <w:proofErr w:type="spellStart"/>
            <w:r w:rsidRPr="00961D9A">
              <w:rPr>
                <w:lang w:val="en-US"/>
              </w:rPr>
              <w:t>Gyldendal</w:t>
            </w:r>
            <w:proofErr w:type="spellEnd"/>
            <w:r w:rsidRPr="00961D9A">
              <w:rPr>
                <w:lang w:val="en-US"/>
              </w:rPr>
              <w:t xml:space="preserve">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E40B96" w:rsidP="009C631C">
            <w:pPr>
              <w:rPr>
                <w:lang w:val="en-US"/>
              </w:rPr>
            </w:pPr>
            <w:hyperlink r:id="rId13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14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5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6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7" w:history="1">
              <w:r w:rsidR="00CB6EC6" w:rsidRPr="00556814">
                <w:rPr>
                  <w:rStyle w:val="Hyperlink"/>
                </w:rPr>
                <w:t>www.lexico.com</w:t>
              </w:r>
            </w:hyperlink>
            <w:r w:rsidR="00CB6EC6"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6733C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33C3" w:rsidRDefault="00677D2E" w:rsidP="009C631C">
            <w:pPr>
              <w:spacing w:line="240" w:lineRule="auto"/>
              <w:rPr>
                <w:b/>
              </w:rPr>
            </w:pPr>
            <w:r w:rsidRPr="006733C3">
              <w:rPr>
                <w:b/>
              </w:rPr>
              <w:t>KERNESTOF:</w:t>
            </w:r>
          </w:p>
          <w:p w:rsidR="00677D2E" w:rsidRPr="006733C3" w:rsidRDefault="00677D2E" w:rsidP="009C631C">
            <w:pPr>
              <w:spacing w:line="240" w:lineRule="auto"/>
              <w:rPr>
                <w:b/>
              </w:rPr>
            </w:pPr>
          </w:p>
          <w:p w:rsidR="00677D2E" w:rsidRPr="006733C3" w:rsidRDefault="00677D2E" w:rsidP="009C631C">
            <w:pPr>
              <w:spacing w:line="240" w:lineRule="auto"/>
              <w:rPr>
                <w:b/>
              </w:rPr>
            </w:pPr>
          </w:p>
          <w:p w:rsidR="00677D2E" w:rsidRPr="00DF7269" w:rsidRDefault="00677D2E" w:rsidP="009C631C">
            <w:pPr>
              <w:spacing w:line="240" w:lineRule="auto"/>
            </w:pPr>
            <w:r w:rsidRPr="00DF7269">
              <w:t xml:space="preserve">Ellis, Simon </w:t>
            </w:r>
            <w:r w:rsidRPr="00DF7269">
              <w:rPr>
                <w:i/>
              </w:rPr>
              <w:t xml:space="preserve">Soft </w:t>
            </w:r>
            <w:r w:rsidRPr="00DF7269">
              <w:t xml:space="preserve">(kort film fra 2006) </w:t>
            </w:r>
            <w:hyperlink r:id="rId18" w:history="1">
              <w:r w:rsidRPr="00DF7269">
                <w:rPr>
                  <w:rStyle w:val="Hyperlink"/>
                </w:rPr>
                <w:t>https://www.youtube.com/watch?v=mpZjndSK_z8</w:t>
              </w:r>
            </w:hyperlink>
          </w:p>
          <w:p w:rsidR="00677D2E" w:rsidRPr="00DF7269" w:rsidRDefault="00677D2E" w:rsidP="009C631C">
            <w:pPr>
              <w:spacing w:line="240" w:lineRule="auto"/>
            </w:pPr>
          </w:p>
          <w:p w:rsidR="00677D2E" w:rsidRPr="00DF7269" w:rsidRDefault="00677D2E" w:rsidP="009C631C">
            <w:pPr>
              <w:spacing w:line="240" w:lineRule="auto"/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9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20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21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22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E40B96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23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6733C3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24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</w:t>
            </w:r>
            <w:proofErr w:type="spellStart"/>
            <w:r w:rsidRPr="00421A69">
              <w:rPr>
                <w:lang w:val="en-US"/>
              </w:rPr>
              <w:t>Inger</w:t>
            </w:r>
            <w:proofErr w:type="spellEnd"/>
            <w:r w:rsidRPr="00421A69">
              <w:rPr>
                <w:lang w:val="en-US"/>
              </w:rPr>
              <w:t xml:space="preserve">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25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E40B96" w:rsidP="009C2AAE">
            <w:pPr>
              <w:rPr>
                <w:lang w:val="en-US"/>
              </w:rPr>
            </w:pPr>
            <w:hyperlink r:id="rId26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E40B96" w:rsidP="009C631C">
            <w:pPr>
              <w:rPr>
                <w:lang w:val="en-US"/>
              </w:rPr>
            </w:pPr>
            <w:hyperlink r:id="rId27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8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5C5789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</w:p>
        </w:tc>
      </w:tr>
      <w:tr w:rsidR="009C631C" w:rsidRPr="006733C3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 xml:space="preserve">, Mike </w:t>
            </w:r>
            <w:proofErr w:type="spellStart"/>
            <w:r w:rsidRPr="009C2AAE">
              <w:rPr>
                <w:rFonts w:ascii="Garamond" w:hAnsi="Garamond"/>
                <w:lang w:eastAsia="en-US"/>
              </w:rPr>
              <w:t>Feder</w:t>
            </w:r>
            <w:proofErr w:type="spellEnd"/>
            <w:r w:rsidRPr="009C2AAE">
              <w:rPr>
                <w:rFonts w:ascii="Garamond" w:hAnsi="Garamond"/>
                <w:lang w:eastAsia="en-US"/>
              </w:rPr>
              <w:t>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9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</w:t>
            </w:r>
            <w:proofErr w:type="spellStart"/>
            <w:r>
              <w:rPr>
                <w:bCs/>
                <w:kern w:val="36"/>
                <w:lang w:val="en-US"/>
              </w:rPr>
              <w:t>Sheeran</w:t>
            </w:r>
            <w:proofErr w:type="spellEnd"/>
            <w:r>
              <w:rPr>
                <w:bCs/>
                <w:kern w:val="36"/>
                <w:lang w:val="en-US"/>
              </w:rPr>
              <w:t xml:space="preserve">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E40B96" w:rsidP="009C2AAE">
            <w:pPr>
              <w:rPr>
                <w:bCs/>
                <w:kern w:val="36"/>
                <w:lang w:val="en-US"/>
              </w:rPr>
            </w:pPr>
            <w:hyperlink r:id="rId30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E40B96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31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33" w:history="1">
              <w:r w:rsidR="005C4D00" w:rsidRPr="00556814">
                <w:rPr>
                  <w:rStyle w:val="Hyperlink"/>
                  <w:lang w:eastAsia="en-US"/>
                </w:rPr>
                <w:t>https://www.lexico.com</w:t>
              </w:r>
            </w:hyperlink>
            <w:r w:rsidR="005C4D00">
              <w:rPr>
                <w:lang w:eastAsia="en-US"/>
              </w:rPr>
              <w:t xml:space="preserve"> </w:t>
            </w:r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p w:rsidR="009F4DE5" w:rsidRDefault="009F4DE5" w:rsidP="009C631C"/>
    <w:p w:rsidR="009F4DE5" w:rsidRDefault="009F4DE5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925"/>
      </w:tblGrid>
      <w:tr w:rsidR="009C631C" w:rsidRPr="006733C3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E40B96" w:rsidP="009C631C">
            <w:pPr>
              <w:rPr>
                <w:lang w:val="en-US"/>
              </w:rPr>
            </w:pPr>
            <w:hyperlink r:id="rId34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>From</w:t>
            </w:r>
            <w:proofErr w:type="gramEnd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6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7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8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9" w:history="1">
              <w:r w:rsidR="00D1205A" w:rsidRPr="00556814">
                <w:rPr>
                  <w:rStyle w:val="Hyperlink"/>
                </w:rPr>
                <w:t>https://www.lexico.com</w:t>
              </w:r>
            </w:hyperlink>
            <w:r w:rsidR="00D1205A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9F4DE5" w:rsidRDefault="009F4DE5" w:rsidP="00152FDC">
      <w:pPr>
        <w:rPr>
          <w:b/>
        </w:rPr>
      </w:pPr>
    </w:p>
    <w:p w:rsidR="009F4DE5" w:rsidRDefault="009F4DE5" w:rsidP="00152FDC">
      <w:pPr>
        <w:rPr>
          <w:b/>
        </w:rPr>
      </w:pPr>
    </w:p>
    <w:p w:rsidR="009F4DE5" w:rsidRDefault="009F4DE5" w:rsidP="00152FDC">
      <w:pPr>
        <w:rPr>
          <w:b/>
        </w:rPr>
      </w:pPr>
    </w:p>
    <w:p w:rsidR="009F4DE5" w:rsidRDefault="009F4DE5" w:rsidP="00152FDC">
      <w:pPr>
        <w:rPr>
          <w:b/>
        </w:rPr>
      </w:pPr>
    </w:p>
    <w:p w:rsidR="009F4DE5" w:rsidRDefault="009F4DE5" w:rsidP="00152FDC">
      <w:pPr>
        <w:rPr>
          <w:b/>
        </w:rPr>
      </w:pPr>
    </w:p>
    <w:p w:rsidR="009F4DE5" w:rsidRDefault="009F4DE5" w:rsidP="00152FDC">
      <w:pPr>
        <w:rPr>
          <w:b/>
        </w:rPr>
      </w:pPr>
      <w:bookmarkStart w:id="1" w:name="_GoBack"/>
      <w:bookmarkEnd w:id="1"/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lastRenderedPageBreak/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</w:p>
        </w:tc>
      </w:tr>
      <w:tr w:rsidR="00885AF2" w:rsidRPr="006733C3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</w:t>
            </w:r>
            <w:proofErr w:type="spellStart"/>
            <w:r>
              <w:rPr>
                <w:lang w:val="en-US"/>
              </w:rPr>
              <w:t>Pandit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Shereen</w:t>
            </w:r>
            <w:proofErr w:type="spellEnd"/>
            <w:r>
              <w:rPr>
                <w:lang w:val="en-US"/>
              </w:rPr>
              <w:t xml:space="preserve">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E40B96" w:rsidP="00885AF2">
            <w:pPr>
              <w:rPr>
                <w:rStyle w:val="username-with-symbol"/>
                <w:lang w:val="en-US"/>
              </w:rPr>
            </w:pPr>
            <w:hyperlink r:id="rId40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41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42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43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44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6733C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5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6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7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DF7269" w:rsidRDefault="00DF7269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FD025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FD02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>, DREAM OR NIGHTMARE?</w:t>
            </w:r>
          </w:p>
        </w:tc>
      </w:tr>
      <w:tr w:rsidR="00677D2E" w:rsidRPr="006733C3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</w:t>
            </w:r>
            <w:proofErr w:type="spellStart"/>
            <w:r w:rsidRPr="00FE280C">
              <w:rPr>
                <w:lang w:val="en-US"/>
              </w:rPr>
              <w:t>Mathilde</w:t>
            </w:r>
            <w:proofErr w:type="spellEnd"/>
            <w:r w:rsidRPr="00FE280C">
              <w:rPr>
                <w:lang w:val="en-US"/>
              </w:rPr>
              <w:t xml:space="preserve">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 xml:space="preserve">, </w:t>
            </w:r>
            <w:proofErr w:type="spellStart"/>
            <w:r w:rsidRPr="00FE280C">
              <w:rPr>
                <w:lang w:val="en-US"/>
              </w:rPr>
              <w:t>Gyldendal</w:t>
            </w:r>
            <w:proofErr w:type="spellEnd"/>
            <w:r w:rsidRPr="00FE280C">
              <w:rPr>
                <w:lang w:val="en-US"/>
              </w:rPr>
              <w:t>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>Obama</w:t>
            </w:r>
            <w:r>
              <w:rPr>
                <w:lang w:val="en-US"/>
              </w:rPr>
              <w:t>,</w:t>
            </w:r>
            <w:r w:rsidR="00FD025D">
              <w:rPr>
                <w:lang w:val="en-US"/>
              </w:rPr>
              <w:t xml:space="preserve"> 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8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9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50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7D7B7B" w:rsidRDefault="00E40B96" w:rsidP="0064023E">
            <w:pPr>
              <w:rPr>
                <w:lang w:val="en-GB"/>
              </w:rPr>
            </w:pPr>
            <w:hyperlink r:id="rId51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</w:p>
          <w:p w:rsidR="0064023E" w:rsidRDefault="0064023E" w:rsidP="0064023E">
            <w:pPr>
              <w:rPr>
                <w:lang w:val="en-GB"/>
              </w:rPr>
            </w:pPr>
          </w:p>
          <w:p w:rsidR="0064023E" w:rsidRDefault="0064023E" w:rsidP="0064023E">
            <w:pPr>
              <w:rPr>
                <w:lang w:val="en-GB"/>
              </w:rPr>
            </w:pPr>
            <w:r>
              <w:rPr>
                <w:lang w:val="en-GB"/>
              </w:rPr>
              <w:t>Videos about Langston Hughes:</w:t>
            </w:r>
          </w:p>
          <w:p w:rsidR="0064023E" w:rsidRPr="0064023E" w:rsidRDefault="00E40B96" w:rsidP="0064023E">
            <w:pPr>
              <w:rPr>
                <w:lang w:val="en-US"/>
              </w:rPr>
            </w:pPr>
            <w:hyperlink r:id="rId52" w:history="1">
              <w:r w:rsidR="0064023E" w:rsidRPr="0064023E">
                <w:rPr>
                  <w:rStyle w:val="Hyperlink"/>
                  <w:lang w:val="en-US"/>
                </w:rPr>
                <w:t>https://www.youtube.com/watch?v=inP76rkYUso</w:t>
              </w:r>
            </w:hyperlink>
          </w:p>
          <w:p w:rsidR="0064023E" w:rsidRPr="0064023E" w:rsidRDefault="00E40B96" w:rsidP="0064023E">
            <w:pPr>
              <w:rPr>
                <w:lang w:val="en-US"/>
              </w:rPr>
            </w:pPr>
            <w:hyperlink r:id="rId53" w:history="1">
              <w:r w:rsidR="0064023E" w:rsidRPr="0064023E">
                <w:rPr>
                  <w:rStyle w:val="Hyperlink"/>
                  <w:lang w:val="en-US"/>
                </w:rPr>
                <w:t>https://www.youtube.com/watch?v=IBijdHs8AVM</w:t>
              </w:r>
            </w:hyperlink>
            <w:r w:rsidR="0064023E" w:rsidRPr="0064023E">
              <w:rPr>
                <w:lang w:val="en-US"/>
              </w:rPr>
              <w:t xml:space="preserve"> </w:t>
            </w:r>
          </w:p>
          <w:p w:rsidR="0064023E" w:rsidRPr="0064023E" w:rsidRDefault="0064023E" w:rsidP="0064023E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Ca. 38</w:t>
            </w:r>
            <w:r w:rsidR="00677D2E">
              <w:rPr>
                <w:b/>
              </w:rPr>
              <w:t xml:space="preserve">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677D2E" w:rsidRPr="0064023E" w:rsidRDefault="0098521D" w:rsidP="0064023E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Manzoor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Sarfraz</w:t>
            </w:r>
            <w:proofErr w:type="spellEnd"/>
            <w:r>
              <w:rPr>
                <w:lang w:val="en-US"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Gyldendal</w:t>
            </w:r>
            <w:proofErr w:type="spellEnd"/>
            <w:r>
              <w:rPr>
                <w:lang w:val="en-US" w:eastAsia="en-US"/>
              </w:rPr>
              <w:t>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Hanif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proofErr w:type="spellStart"/>
            <w:r>
              <w:rPr>
                <w:lang w:val="en-US"/>
              </w:rPr>
              <w:t>J</w:t>
            </w:r>
            <w:r w:rsidRPr="00A76030">
              <w:rPr>
                <w:lang w:val="en-US"/>
              </w:rPr>
              <w:t>onna</w:t>
            </w:r>
            <w:proofErr w:type="spellEnd"/>
            <w:r w:rsidRPr="00A76030">
              <w:rPr>
                <w:lang w:val="en-US"/>
              </w:rPr>
              <w:t xml:space="preserve">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proofErr w:type="spellStart"/>
            <w:r w:rsidRPr="00A76030">
              <w:rPr>
                <w:lang w:val="en-US"/>
              </w:rPr>
              <w:t>Gyldendal</w:t>
            </w:r>
            <w:proofErr w:type="spellEnd"/>
            <w:r w:rsidRPr="00A76030">
              <w:rPr>
                <w:lang w:val="en-US"/>
              </w:rPr>
              <w:t>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 xml:space="preserve">, John, 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proofErr w:type="spellStart"/>
            <w:r w:rsidRPr="00153E3B">
              <w:rPr>
                <w:i/>
                <w:lang w:val="en-US" w:eastAsia="en-US"/>
              </w:rPr>
              <w:t>Windrush</w:t>
            </w:r>
            <w:proofErr w:type="spellEnd"/>
            <w:r w:rsidRPr="00153E3B">
              <w:rPr>
                <w:i/>
                <w:lang w:val="en-US" w:eastAsia="en-US"/>
              </w:rPr>
              <w:t xml:space="preserve">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E40B96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54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E40B96" w:rsidP="009C631C">
            <w:pPr>
              <w:rPr>
                <w:b/>
                <w:lang w:val="en-US"/>
              </w:rPr>
            </w:pPr>
            <w:hyperlink r:id="rId55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 xml:space="preserve">The SS Empire </w:t>
            </w:r>
            <w:proofErr w:type="spellStart"/>
            <w:r w:rsidRPr="00A76030">
              <w:rPr>
                <w:lang w:val="en-US"/>
              </w:rPr>
              <w:t>Windrush</w:t>
            </w:r>
            <w:proofErr w:type="spellEnd"/>
            <w:r w:rsidRPr="00A76030">
              <w:rPr>
                <w:lang w:val="en-US"/>
              </w:rPr>
              <w:t>:</w:t>
            </w:r>
          </w:p>
          <w:p w:rsidR="00677D2E" w:rsidRDefault="00E40B96" w:rsidP="009C631C">
            <w:pPr>
              <w:spacing w:line="240" w:lineRule="auto"/>
              <w:rPr>
                <w:lang w:val="en-US"/>
              </w:rPr>
            </w:pPr>
            <w:hyperlink r:id="rId56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 xml:space="preserve">, </w:t>
            </w:r>
            <w:proofErr w:type="spellStart"/>
            <w:r w:rsidRPr="000852D2">
              <w:rPr>
                <w:lang w:val="en-US" w:eastAsia="en-US"/>
              </w:rPr>
              <w:t>Gyldendal</w:t>
            </w:r>
            <w:proofErr w:type="spellEnd"/>
            <w:r w:rsidRPr="000852D2">
              <w:rPr>
                <w:lang w:val="en-US" w:eastAsia="en-US"/>
              </w:rPr>
              <w:t xml:space="preserve">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</w:t>
            </w:r>
            <w:r w:rsidR="000852D2">
              <w:rPr>
                <w:b/>
              </w:rPr>
              <w:t>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 w:rsidRPr="0064023E">
        <w:rPr>
          <w:b/>
        </w:rPr>
        <w:t xml:space="preserve">I alt ca. </w:t>
      </w:r>
      <w:r w:rsidR="0064023E" w:rsidRPr="0064023E">
        <w:rPr>
          <w:b/>
        </w:rPr>
        <w:t>434</w:t>
      </w:r>
      <w:r w:rsidR="007C62DD" w:rsidRPr="0064023E">
        <w:rPr>
          <w:b/>
        </w:rPr>
        <w:t xml:space="preserve"> sider</w:t>
      </w:r>
    </w:p>
    <w:sectPr w:rsidR="009C631C" w:rsidRPr="007C62DD" w:rsidSect="009C631C">
      <w:headerReference w:type="default" r:id="rId57"/>
      <w:footerReference w:type="default" r:id="rId5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F9" w:rsidRDefault="00A11EF9">
      <w:pPr>
        <w:spacing w:line="240" w:lineRule="auto"/>
      </w:pPr>
      <w:r>
        <w:separator/>
      </w:r>
    </w:p>
  </w:endnote>
  <w:endnote w:type="continuationSeparator" w:id="0">
    <w:p w:rsidR="00A11EF9" w:rsidRDefault="00A1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40B96"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40B9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F9" w:rsidRDefault="00A11EF9">
      <w:pPr>
        <w:spacing w:line="240" w:lineRule="auto"/>
      </w:pPr>
      <w:r>
        <w:separator/>
      </w:r>
    </w:p>
  </w:footnote>
  <w:footnote w:type="continuationSeparator" w:id="0">
    <w:p w:rsidR="00A11EF9" w:rsidRDefault="00A11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F5D"/>
    <w:multiLevelType w:val="multilevel"/>
    <w:tmpl w:val="F2F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1"/>
  </w:num>
  <w:num w:numId="18">
    <w:abstractNumId w:val="1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595DC7"/>
    <w:rsid w:val="005C4D00"/>
    <w:rsid w:val="00600C8B"/>
    <w:rsid w:val="0064023E"/>
    <w:rsid w:val="006733C3"/>
    <w:rsid w:val="00677D2E"/>
    <w:rsid w:val="006A4177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9F4DE5"/>
    <w:rsid w:val="00A11EF9"/>
    <w:rsid w:val="00A76030"/>
    <w:rsid w:val="00AC5525"/>
    <w:rsid w:val="00AD3227"/>
    <w:rsid w:val="00AF1A88"/>
    <w:rsid w:val="00BE557D"/>
    <w:rsid w:val="00CB6EC6"/>
    <w:rsid w:val="00CC2907"/>
    <w:rsid w:val="00D1205A"/>
    <w:rsid w:val="00D7241C"/>
    <w:rsid w:val="00D8177B"/>
    <w:rsid w:val="00DC2863"/>
    <w:rsid w:val="00DD516F"/>
    <w:rsid w:val="00DF7269"/>
    <w:rsid w:val="00E40B96"/>
    <w:rsid w:val="00ED4994"/>
    <w:rsid w:val="00EE3DE3"/>
    <w:rsid w:val="00F42102"/>
    <w:rsid w:val="00FB3A5B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53D8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  <w:style w:type="character" w:styleId="Strk">
    <w:name w:val="Strong"/>
    <w:basedOn w:val="Standardskrifttypeiafsnit"/>
    <w:uiPriority w:val="22"/>
    <w:qFormat/>
    <w:rsid w:val="00DF7269"/>
    <w:rPr>
      <w:b/>
      <w:bCs/>
    </w:rPr>
  </w:style>
  <w:style w:type="character" w:customStyle="1" w:styleId="screenreader-only">
    <w:name w:val="screenreader-only"/>
    <w:basedOn w:val="Standardskrifttypeiafsnit"/>
    <w:rsid w:val="00DF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32dm0rphc51dk.cloudfront.net/QOlLuYYqAbIgXx-HnbwJ2Q/larger.jpg" TargetMode="External"/><Relationship Id="rId18" Type="http://schemas.openxmlformats.org/officeDocument/2006/relationships/hyperlink" Target="https://www.youtube.com/watch?v=mpZjndSK_z8" TargetMode="External"/><Relationship Id="rId26" Type="http://schemas.openxmlformats.org/officeDocument/2006/relationships/hyperlink" Target="https://vimeo.com/56464411" TargetMode="External"/><Relationship Id="rId39" Type="http://schemas.openxmlformats.org/officeDocument/2006/relationships/hyperlink" Target="https://www.lexico.com" TargetMode="External"/><Relationship Id="rId21" Type="http://schemas.openxmlformats.org/officeDocument/2006/relationships/hyperlink" Target="http://www.washingtonpost.com/wp-srv/politics/special/watergate/" TargetMode="External"/><Relationship Id="rId34" Type="http://schemas.openxmlformats.org/officeDocument/2006/relationships/hyperlink" Target="https://www.englishclub.com/what-is-english/" TargetMode="External"/><Relationship Id="rId42" Type="http://schemas.openxmlformats.org/officeDocument/2006/relationships/hyperlink" Target="http://ash-3xpired.deviantart.com/art/Choices-and-consequences-198140687" TargetMode="External"/><Relationship Id="rId47" Type="http://schemas.openxmlformats.org/officeDocument/2006/relationships/hyperlink" Target="https://www.youtube.com/watch?v=9P1IJqNDYjQ" TargetMode="External"/><Relationship Id="rId50" Type="http://schemas.openxmlformats.org/officeDocument/2006/relationships/hyperlink" Target="https://www.youtube.com/watch?v=I47Y6VHc3Ms" TargetMode="External"/><Relationship Id="rId55" Type="http://schemas.openxmlformats.org/officeDocument/2006/relationships/hyperlink" Target="http://learnenglishteens.britishcouncil.org/uk-now/video-uk/multicultural-britain" TargetMode="External"/><Relationship Id="rId7" Type="http://schemas.openxmlformats.org/officeDocument/2006/relationships/hyperlink" Target="https://www.ordbogen.com/da/" TargetMode="External"/><Relationship Id="rId12" Type="http://schemas.openxmlformats.org/officeDocument/2006/relationships/hyperlink" Target="https://www.minlaering.dk/" TargetMode="External"/><Relationship Id="rId17" Type="http://schemas.openxmlformats.org/officeDocument/2006/relationships/hyperlink" Target="http://www.lexico.com" TargetMode="External"/><Relationship Id="rId25" Type="http://schemas.openxmlformats.org/officeDocument/2006/relationships/hyperlink" Target="https://www.imdb.com/name/nm3323772/?ref_=tt_ov_dr" TargetMode="External"/><Relationship Id="rId33" Type="http://schemas.openxmlformats.org/officeDocument/2006/relationships/hyperlink" Target="https://www.lexico.com" TargetMode="External"/><Relationship Id="rId38" Type="http://schemas.openxmlformats.org/officeDocument/2006/relationships/hyperlink" Target="http://www.ordbogen.com" TargetMode="External"/><Relationship Id="rId46" Type="http://schemas.openxmlformats.org/officeDocument/2006/relationships/hyperlink" Target="https://www.youtube.com/watch?v=geev441vbMI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rdbogen.com" TargetMode="External"/><Relationship Id="rId20" Type="http://schemas.openxmlformats.org/officeDocument/2006/relationships/hyperlink" Target="http://en.wikipedia.org/wiki/Watergate_scandal" TargetMode="External"/><Relationship Id="rId29" Type="http://schemas.openxmlformats.org/officeDocument/2006/relationships/hyperlink" Target="https://www.businessinsider.com/i-have-aspergers-and-i-like-being-different-2013-2?r=US&amp;IR=T&amp;IR=T" TargetMode="External"/><Relationship Id="rId41" Type="http://schemas.openxmlformats.org/officeDocument/2006/relationships/hyperlink" Target="http://ash-3xpired.deviantart.com/" TargetMode="External"/><Relationship Id="rId54" Type="http://schemas.openxmlformats.org/officeDocument/2006/relationships/hyperlink" Target="https://clpe.org.uk/poetryline/poems/windrush-chil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xico.com/" TargetMode="External"/><Relationship Id="rId24" Type="http://schemas.openxmlformats.org/officeDocument/2006/relationships/hyperlink" Target="http://content.time.com/time/magazine/article/0,9171,55745,00.html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s://www.youtube.com/watch?v=CTozrTpxldM" TargetMode="External"/><Relationship Id="rId40" Type="http://schemas.openxmlformats.org/officeDocument/2006/relationships/hyperlink" Target="http://ash-3xpired.deviantart.com/art/Choices-and-consequences-198140687" TargetMode="External"/><Relationship Id="rId45" Type="http://schemas.openxmlformats.org/officeDocument/2006/relationships/hyperlink" Target="file:///\\apps01\users$\sids1949\Windows\Desktop\MAJ%202016\files\51519_could_it_be_forever.pdf" TargetMode="External"/><Relationship Id="rId53" Type="http://schemas.openxmlformats.org/officeDocument/2006/relationships/hyperlink" Target="https://www.youtube.com/watch?v=IBijdHs8AVM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inlaering.dk" TargetMode="External"/><Relationship Id="rId23" Type="http://schemas.openxmlformats.org/officeDocument/2006/relationships/hyperlink" Target="file:///C:\Users\sbb\AppData\Local\Temp\Raymond%20Carver%20bio:%20https:\www.youtube.com\watch%3fv=oapV2DzeYBw&amp;t=310s" TargetMode="External"/><Relationship Id="rId28" Type="http://schemas.openxmlformats.org/officeDocument/2006/relationships/hyperlink" Target="https://www.youtube.com/watch?v=aywDT6yHMmo" TargetMode="External"/><Relationship Id="rId36" Type="http://schemas.openxmlformats.org/officeDocument/2006/relationships/hyperlink" Target="https://politiken.dk/kultur/kultur_top/art5626134/L%C3%A6serne-Vi-taler-da-liquid-English" TargetMode="External"/><Relationship Id="rId49" Type="http://schemas.openxmlformats.org/officeDocument/2006/relationships/hyperlink" Target="https://www.whatsoproudlywehail.org/wp-content/uploads/2013/06/Hughes_One-Friday-Morning.pdf?x65350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ordbogen.com/da/" TargetMode="External"/><Relationship Id="rId19" Type="http://schemas.openxmlformats.org/officeDocument/2006/relationships/hyperlink" Target="http://en.wikipedia.org/wiki/Time_(magazine)" TargetMode="External"/><Relationship Id="rId31" Type="http://schemas.openxmlformats.org/officeDocument/2006/relationships/hyperlink" Target="https://www.youtube.com/watch?v=4pv8ihJkDZk" TargetMode="External"/><Relationship Id="rId44" Type="http://schemas.openxmlformats.org/officeDocument/2006/relationships/hyperlink" Target="http://www.youtube.com/watch?v=spXtePd4Whk" TargetMode="External"/><Relationship Id="rId52" Type="http://schemas.openxmlformats.org/officeDocument/2006/relationships/hyperlink" Target="https://www.youtube.com/watch?v=inP76rkYUso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nlaering.dk/" TargetMode="External"/><Relationship Id="rId14" Type="http://schemas.openxmlformats.org/officeDocument/2006/relationships/hyperlink" Target="http://www.youtube.com/watch?v=P7YkJxQT_0Y&amp;feature=related" TargetMode="External"/><Relationship Id="rId22" Type="http://schemas.openxmlformats.org/officeDocument/2006/relationships/hyperlink" Target="http://watergate.info/chronology/brief.shtml" TargetMode="External"/><Relationship Id="rId27" Type="http://schemas.openxmlformats.org/officeDocument/2006/relationships/hyperlink" Target="https://www.lyrics.com/lyric/4503696/Took+the+Children+Away" TargetMode="External"/><Relationship Id="rId30" Type="http://schemas.openxmlformats.org/officeDocument/2006/relationships/hyperlink" Target="http://time.com/3916626/ed-sheeran-original-speech-stuttering/" TargetMode="External"/><Relationship Id="rId35" Type="http://schemas.openxmlformats.org/officeDocument/2006/relationships/hyperlink" Target="https://www.thoughtco.com/english-as-a-global-language-1692652" TargetMode="External"/><Relationship Id="rId43" Type="http://schemas.openxmlformats.org/officeDocument/2006/relationships/hyperlink" Target="http://www.poets.org/viewmedia.php/prmMID/15717" TargetMode="External"/><Relationship Id="rId48" Type="http://schemas.openxmlformats.org/officeDocument/2006/relationships/hyperlink" Target="http://www.americanrhetoric.com/speeches/PDFFiles/Barack%20Obama%20-%202004%20DNC%20Address.pdf" TargetMode="External"/><Relationship Id="rId56" Type="http://schemas.openxmlformats.org/officeDocument/2006/relationships/hyperlink" Target="https://www.youtube.com/watch?v=9F6lsLRdZ-o" TargetMode="External"/><Relationship Id="rId8" Type="http://schemas.openxmlformats.org/officeDocument/2006/relationships/hyperlink" Target="https://www.lexico.com/" TargetMode="External"/><Relationship Id="rId51" Type="http://schemas.openxmlformats.org/officeDocument/2006/relationships/hyperlink" Target="https://www.youtube.com/watch?v=ueMNqdB1QI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Karin Vibeke Jensen</cp:lastModifiedBy>
  <cp:revision>2</cp:revision>
  <dcterms:created xsi:type="dcterms:W3CDTF">2021-05-07T07:02:00Z</dcterms:created>
  <dcterms:modified xsi:type="dcterms:W3CDTF">2021-05-07T07:02:00Z</dcterms:modified>
</cp:coreProperties>
</file>